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hd w:fill="ffffff" w:val="clear"/>
        <w:spacing w:after="200" w:before="0"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International Public Policy Forum</w:t>
      </w:r>
    </w:p>
    <w:p w:rsidR="00000000" w:rsidDel="00000000" w:rsidP="00000000" w:rsidRDefault="00000000" w:rsidRPr="00000000" w14:paraId="00000002">
      <w:pPr>
        <w:pStyle w:val="Heading2"/>
        <w:shd w:fill="ffffff" w:val="clear"/>
        <w:spacing w:after="200" w:before="0" w:line="48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Top 32 Affirmative Rebuttals</w:t>
      </w:r>
      <w:r w:rsidDel="00000000" w:rsidR="00000000" w:rsidRPr="00000000">
        <w:rPr>
          <w:rtl w:val="0"/>
        </w:rPr>
      </w:r>
    </w:p>
    <w:p w:rsidR="00000000" w:rsidDel="00000000" w:rsidP="00000000" w:rsidRDefault="00000000" w:rsidRPr="00000000" w14:paraId="00000003">
      <w:pPr>
        <w:pStyle w:val="Heading2"/>
        <w:shd w:fill="ffffff" w:val="clear"/>
        <w:spacing w:after="200" w:before="0"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 School v Hamilton High School</w:t>
      </w:r>
    </w:p>
    <w:p w:rsidR="00000000" w:rsidDel="00000000" w:rsidP="00000000" w:rsidRDefault="00000000" w:rsidRPr="00000000" w14:paraId="00000004">
      <w:pPr>
        <w:pStyle w:val="Heading2"/>
        <w:shd w:fill="ffffff" w:val="clear"/>
        <w:spacing w:after="200" w:before="0" w:line="480" w:lineRule="auto"/>
        <w:jc w:val="center"/>
        <w:rPr>
          <w:rFonts w:ascii="Times New Roman" w:cs="Times New Roman" w:eastAsia="Times New Roman" w:hAnsi="Times New Roman"/>
          <w:sz w:val="18"/>
          <w:szCs w:val="18"/>
        </w:rPr>
      </w:pPr>
      <w:bookmarkStart w:colFirst="0" w:colLast="0" w:name="_ozm33cned84m" w:id="0"/>
      <w:bookmarkEnd w:id="0"/>
      <w:r w:rsidDel="00000000" w:rsidR="00000000" w:rsidRPr="00000000">
        <w:rPr>
          <w:rFonts w:ascii="Times New Roman" w:cs="Times New Roman" w:eastAsia="Times New Roman" w:hAnsi="Times New Roman"/>
          <w:sz w:val="18"/>
          <w:szCs w:val="18"/>
          <w:rtl w:val="0"/>
        </w:rPr>
        <w:t xml:space="preserve">Chua Boc Street</w:t>
      </w:r>
    </w:p>
    <w:p w:rsidR="00000000" w:rsidDel="00000000" w:rsidP="00000000" w:rsidRDefault="00000000" w:rsidRPr="00000000" w14:paraId="00000005">
      <w:pPr>
        <w:pStyle w:val="Heading2"/>
        <w:shd w:fill="ffffff" w:val="clear"/>
        <w:spacing w:after="200" w:before="0" w:line="480" w:lineRule="auto"/>
        <w:jc w:val="center"/>
        <w:rPr>
          <w:rFonts w:ascii="Times New Roman" w:cs="Times New Roman" w:eastAsia="Times New Roman" w:hAnsi="Times New Roman"/>
          <w:sz w:val="18"/>
          <w:szCs w:val="18"/>
        </w:rPr>
      </w:pPr>
      <w:bookmarkStart w:colFirst="0" w:colLast="0" w:name="_8qiyimklzkmd" w:id="1"/>
      <w:bookmarkEnd w:id="1"/>
      <w:r w:rsidDel="00000000" w:rsidR="00000000" w:rsidRPr="00000000">
        <w:rPr>
          <w:rFonts w:ascii="Times New Roman" w:cs="Times New Roman" w:eastAsia="Times New Roman" w:hAnsi="Times New Roman"/>
          <w:sz w:val="18"/>
          <w:szCs w:val="18"/>
          <w:rtl w:val="0"/>
        </w:rPr>
        <w:t xml:space="preserve">Hanoi, 100000, Vietnam</w:t>
      </w:r>
    </w:p>
    <w:p w:rsidR="00000000" w:rsidDel="00000000" w:rsidP="00000000" w:rsidRDefault="00000000" w:rsidRPr="00000000" w14:paraId="00000006">
      <w:pPr>
        <w:pStyle w:val="Heading2"/>
        <w:shd w:fill="ffffff" w:val="clear"/>
        <w:spacing w:after="200" w:before="0" w:line="480" w:lineRule="auto"/>
        <w:jc w:val="center"/>
        <w:rPr>
          <w:rFonts w:ascii="Times New Roman" w:cs="Times New Roman" w:eastAsia="Times New Roman" w:hAnsi="Times New Roman"/>
          <w:b w:val="1"/>
          <w:bCs w:val="1"/>
          <w:sz w:val="18"/>
          <w:szCs w:val="18"/>
        </w:rPr>
      </w:pPr>
      <w:bookmarkStart w:colFirst="0" w:colLast="0" w:name="_fb15g8g0hi26" w:id="2"/>
      <w:bookmarkEnd w:id="2"/>
      <w:r w:rsidDel="00000000" w:rsidR="00000000" w:rsidRPr="00000000">
        <w:rPr>
          <w:rFonts w:ascii="Times New Roman" w:cs="Times New Roman" w:eastAsia="Times New Roman" w:hAnsi="Times New Roman"/>
          <w:sz w:val="18"/>
          <w:szCs w:val="18"/>
          <w:rtl w:val="0"/>
        </w:rPr>
        <w:t xml:space="preserve">(+84) 975 874 706</w:t>
      </w:r>
      <w:r w:rsidDel="00000000" w:rsidR="00000000" w:rsidRPr="00000000">
        <w:rPr>
          <w:rtl w:val="0"/>
        </w:rPr>
      </w:r>
    </w:p>
    <w:p w:rsidR="00000000" w:rsidDel="00000000" w:rsidP="00000000" w:rsidRDefault="00000000" w:rsidRPr="00000000" w14:paraId="00000007">
      <w:pPr>
        <w:pStyle w:val="Heading2"/>
        <w:shd w:fill="ffffff" w:val="clear"/>
        <w:spacing w:after="200" w:before="0"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On the topic:</w:t>
      </w:r>
    </w:p>
    <w:p w:rsidR="00000000" w:rsidDel="00000000" w:rsidP="00000000" w:rsidRDefault="00000000" w:rsidRPr="00000000" w14:paraId="00000008">
      <w:pPr>
        <w:pStyle w:val="Heading2"/>
        <w:shd w:fill="ffffff" w:val="clear"/>
        <w:spacing w:after="200" w:before="0"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Resolved: The Group of 20 Nations should levy a global education tax equal to 1% of each member country's gross domestic product to establish a dedicated international organization that supports the provision of universal, free, quality primary and secondary education.</w:t>
      </w:r>
    </w:p>
    <w:p w:rsidR="00000000" w:rsidDel="00000000" w:rsidP="00000000" w:rsidRDefault="00000000" w:rsidRPr="00000000" w14:paraId="00000009">
      <w:pPr>
        <w:pStyle w:val="Heading2"/>
        <w:shd w:fill="ffffff" w:val="clear"/>
        <w:spacing w:after="200" w:before="0" w:line="48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p w:rsidR="00000000" w:rsidDel="00000000" w:rsidP="00000000" w:rsidRDefault="00000000" w:rsidRPr="00000000" w14:paraId="0000000A">
      <w:pPr>
        <w:pStyle w:val="Heading2"/>
        <w:shd w:fill="ffffff" w:val="clear"/>
        <w:spacing w:after="200" w:before="0"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Composed by:</w:t>
      </w:r>
    </w:p>
    <w:p w:rsidR="00000000" w:rsidDel="00000000" w:rsidP="00000000" w:rsidRDefault="00000000" w:rsidRPr="00000000" w14:paraId="0000000B">
      <w:pPr>
        <w:pStyle w:val="Heading2"/>
        <w:shd w:fill="ffffff" w:val="clear"/>
        <w:spacing w:after="200" w:before="0" w:line="480" w:lineRule="auto"/>
        <w:jc w:val="center"/>
        <w:rPr>
          <w:rFonts w:ascii="Times New Roman" w:cs="Times New Roman" w:eastAsia="Times New Roman" w:hAnsi="Times New Roman"/>
          <w:sz w:val="18"/>
          <w:szCs w:val="18"/>
        </w:rPr>
      </w:pPr>
      <w:bookmarkStart w:colFirst="0" w:colLast="0" w:name="_mqi0eytvar55" w:id="3"/>
      <w:bookmarkEnd w:id="3"/>
      <w:r w:rsidDel="00000000" w:rsidR="00000000" w:rsidRPr="00000000">
        <w:rPr>
          <w:rFonts w:ascii="Times New Roman" w:cs="Times New Roman" w:eastAsia="Times New Roman" w:hAnsi="Times New Roman"/>
          <w:sz w:val="18"/>
          <w:szCs w:val="18"/>
          <w:rtl w:val="0"/>
        </w:rPr>
        <w:t xml:space="preserve">Lai Uyen Nhu</w:t>
      </w:r>
    </w:p>
    <w:p w:rsidR="00000000" w:rsidDel="00000000" w:rsidP="00000000" w:rsidRDefault="00000000" w:rsidRPr="00000000" w14:paraId="0000000C">
      <w:pPr>
        <w:pStyle w:val="Heading2"/>
        <w:shd w:fill="ffffff" w:val="clear"/>
        <w:spacing w:after="200" w:before="0" w:line="480" w:lineRule="auto"/>
        <w:jc w:val="center"/>
        <w:rPr>
          <w:rFonts w:ascii="Times New Roman" w:cs="Times New Roman" w:eastAsia="Times New Roman" w:hAnsi="Times New Roman"/>
          <w:sz w:val="18"/>
          <w:szCs w:val="18"/>
        </w:rPr>
      </w:pPr>
      <w:bookmarkStart w:colFirst="0" w:colLast="0" w:name="_63hg7761d0kf" w:id="4"/>
      <w:bookmarkEnd w:id="4"/>
      <w:r w:rsidDel="00000000" w:rsidR="00000000" w:rsidRPr="00000000">
        <w:rPr>
          <w:rFonts w:ascii="Times New Roman" w:cs="Times New Roman" w:eastAsia="Times New Roman" w:hAnsi="Times New Roman"/>
          <w:sz w:val="18"/>
          <w:szCs w:val="18"/>
          <w:rtl w:val="0"/>
        </w:rPr>
        <w:t xml:space="preserve">Nguyen Bao Anh</w:t>
      </w:r>
    </w:p>
    <w:p w:rsidR="00000000" w:rsidDel="00000000" w:rsidP="00000000" w:rsidRDefault="00000000" w:rsidRPr="00000000" w14:paraId="0000000D">
      <w:pPr>
        <w:pStyle w:val="Heading2"/>
        <w:shd w:fill="ffffff" w:val="clear"/>
        <w:spacing w:after="200" w:before="0" w:line="480" w:lineRule="auto"/>
        <w:jc w:val="center"/>
        <w:rPr>
          <w:rFonts w:ascii="Times New Roman" w:cs="Times New Roman" w:eastAsia="Times New Roman" w:hAnsi="Times New Roman"/>
          <w:sz w:val="18"/>
          <w:szCs w:val="18"/>
        </w:rPr>
      </w:pPr>
      <w:bookmarkStart w:colFirst="0" w:colLast="0" w:name="_5o2wqcwbawpv" w:id="5"/>
      <w:bookmarkEnd w:id="5"/>
      <w:r w:rsidDel="00000000" w:rsidR="00000000" w:rsidRPr="00000000">
        <w:rPr>
          <w:rFonts w:ascii="Times New Roman" w:cs="Times New Roman" w:eastAsia="Times New Roman" w:hAnsi="Times New Roman"/>
          <w:sz w:val="18"/>
          <w:szCs w:val="18"/>
          <w:rtl w:val="0"/>
        </w:rPr>
        <w:t xml:space="preserve">Tran Thanh Chi</w:t>
      </w:r>
    </w:p>
    <w:p w:rsidR="00000000" w:rsidDel="00000000" w:rsidP="00000000" w:rsidRDefault="00000000" w:rsidRPr="00000000" w14:paraId="0000000E">
      <w:pPr>
        <w:pStyle w:val="Heading2"/>
        <w:shd w:fill="ffffff" w:val="clear"/>
        <w:spacing w:after="200" w:before="0" w:line="480" w:lineRule="auto"/>
        <w:jc w:val="center"/>
        <w:rPr>
          <w:rFonts w:ascii="Times New Roman" w:cs="Times New Roman" w:eastAsia="Times New Roman" w:hAnsi="Times New Roman"/>
          <w:sz w:val="18"/>
          <w:szCs w:val="18"/>
        </w:rPr>
      </w:pPr>
      <w:bookmarkStart w:colFirst="0" w:colLast="0" w:name="_e9hnzur8pjlu" w:id="6"/>
      <w:bookmarkEnd w:id="6"/>
      <w:r w:rsidDel="00000000" w:rsidR="00000000" w:rsidRPr="00000000">
        <w:rPr>
          <w:rFonts w:ascii="Times New Roman" w:cs="Times New Roman" w:eastAsia="Times New Roman" w:hAnsi="Times New Roman"/>
          <w:sz w:val="18"/>
          <w:szCs w:val="18"/>
          <w:rtl w:val="0"/>
        </w:rPr>
        <w:t xml:space="preserve">Nguyen Khoa Dien</w:t>
      </w:r>
    </w:p>
    <w:p w:rsidR="00000000" w:rsidDel="00000000" w:rsidP="00000000" w:rsidRDefault="00000000" w:rsidRPr="00000000" w14:paraId="0000000F">
      <w:pPr>
        <w:pStyle w:val="Heading2"/>
        <w:shd w:fill="ffffff" w:val="clear"/>
        <w:spacing w:after="200" w:before="0" w:line="480" w:lineRule="auto"/>
        <w:jc w:val="center"/>
        <w:rPr>
          <w:rFonts w:ascii="Times New Roman" w:cs="Times New Roman" w:eastAsia="Times New Roman" w:hAnsi="Times New Roman"/>
          <w:b w:val="1"/>
          <w:bCs w:val="1"/>
          <w:sz w:val="18"/>
          <w:szCs w:val="18"/>
        </w:rPr>
      </w:pPr>
      <w:bookmarkStart w:colFirst="0" w:colLast="0" w:name="_r4j0cdu3rgp" w:id="7"/>
      <w:bookmarkEnd w:id="7"/>
      <w:r w:rsidDel="00000000" w:rsidR="00000000" w:rsidRPr="00000000">
        <w:rPr>
          <w:rFonts w:ascii="Times New Roman" w:cs="Times New Roman" w:eastAsia="Times New Roman" w:hAnsi="Times New Roman"/>
          <w:sz w:val="18"/>
          <w:szCs w:val="18"/>
          <w:rtl w:val="0"/>
        </w:rPr>
        <w:t xml:space="preserve">Le Khanh Vy</w:t>
      </w:r>
      <w:r w:rsidDel="00000000" w:rsidR="00000000" w:rsidRPr="00000000">
        <w:rPr>
          <w:rtl w:val="0"/>
        </w:rPr>
      </w:r>
    </w:p>
    <w:p w:rsidR="00000000" w:rsidDel="00000000" w:rsidP="00000000" w:rsidRDefault="00000000" w:rsidRPr="00000000" w14:paraId="00000010">
      <w:pPr>
        <w:pStyle w:val="Heading2"/>
        <w:shd w:fill="ffffff" w:val="clear"/>
        <w:spacing w:after="200" w:before="0" w:line="48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In our honor, we pledge that we have received no unauthorized assistance on this work.</w:t>
      </w:r>
      <w:r w:rsidDel="00000000" w:rsidR="00000000" w:rsidRPr="00000000">
        <w:rPr>
          <w:rtl w:val="0"/>
        </w:rPr>
      </w:r>
    </w:p>
    <w:p w:rsidR="00000000" w:rsidDel="00000000" w:rsidP="00000000" w:rsidRDefault="00000000" w:rsidRPr="00000000" w14:paraId="00000011">
      <w:pPr>
        <w:pStyle w:val="Heading2"/>
        <w:shd w:fill="ffffff" w:val="clear"/>
        <w:spacing w:after="200" w:before="0"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Word Count: XCXC  (not including the Cover Pages or Works Cited pages)</w:t>
      </w:r>
    </w:p>
    <w:p w:rsidR="00000000" w:rsidDel="00000000" w:rsidP="00000000" w:rsidRDefault="00000000" w:rsidRPr="00000000" w14:paraId="00000012">
      <w:pPr>
        <w:pStyle w:val="Heading2"/>
        <w:shd w:fill="ffffff" w:val="clear"/>
        <w:spacing w:after="200" w:before="0" w:line="48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p w:rsidR="00000000" w:rsidDel="00000000" w:rsidP="00000000" w:rsidRDefault="00000000" w:rsidRPr="00000000" w14:paraId="00000013">
      <w:pPr>
        <w:pStyle w:val="Heading2"/>
        <w:shd w:fill="ffffff" w:val="clear"/>
        <w:spacing w:after="200" w:before="0" w:line="48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p w:rsidR="00000000" w:rsidDel="00000000" w:rsidP="00000000" w:rsidRDefault="00000000" w:rsidRPr="00000000" w14:paraId="00000014">
      <w:pPr>
        <w:pStyle w:val="Heading2"/>
        <w:shd w:fill="ffffff" w:val="clear"/>
        <w:spacing w:after="200" w:before="0" w:line="48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Submitted by:</w:t>
      </w:r>
    </w:p>
    <w:p w:rsidR="00000000" w:rsidDel="00000000" w:rsidP="00000000" w:rsidRDefault="00000000" w:rsidRPr="00000000" w14:paraId="00000015">
      <w:pPr>
        <w:pStyle w:val="Heading2"/>
        <w:shd w:fill="ffffff" w:val="clear"/>
        <w:spacing w:after="200" w:before="0" w:line="480" w:lineRule="auto"/>
        <w:jc w:val="center"/>
        <w:rPr>
          <w:rFonts w:ascii="Times New Roman" w:cs="Times New Roman" w:eastAsia="Times New Roman" w:hAnsi="Times New Roman"/>
        </w:rPr>
      </w:pPr>
      <w:bookmarkStart w:colFirst="0" w:colLast="0" w:name="_swxi25cbqs82" w:id="8"/>
      <w:bookmarkEnd w:id="8"/>
      <w:r w:rsidDel="00000000" w:rsidR="00000000" w:rsidRPr="00000000">
        <w:rPr>
          <w:rFonts w:ascii="Times New Roman" w:cs="Times New Roman" w:eastAsia="Times New Roman" w:hAnsi="Times New Roman"/>
          <w:sz w:val="18"/>
          <w:szCs w:val="18"/>
          <w:rtl w:val="0"/>
        </w:rPr>
        <w:t xml:space="preserve">Tran Thanh Chi</w:t>
      </w:r>
      <w:r w:rsidDel="00000000" w:rsidR="00000000" w:rsidRPr="00000000">
        <w:rPr>
          <w:rtl w:val="0"/>
        </w:rPr>
      </w:r>
    </w:p>
    <w:p w:rsidR="00000000" w:rsidDel="00000000" w:rsidP="00000000" w:rsidRDefault="00000000" w:rsidRPr="00000000" w14:paraId="00000016">
      <w:pPr>
        <w:numPr>
          <w:ilvl w:val="0"/>
          <w:numId w:val="2"/>
        </w:numPr>
        <w:spacing w:after="240" w:before="240"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1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reports a critical global education crisis, with over 250 million children and youth currently out of school (UNESCO). This is an urgent, large-scale failure that demands bold policy intervention. Incremental or voluntary approaches have clearly failed, which is why the Affirmative advances a new G20-appointed international organization (IO), a robust and proportionate solution. Throughout this debate, the Negative has avoided engaging directly with Affirmative’s policy and its checks and balances. Instead, they focus on isolated harms without acknowledging the necessity of tradeoffs or offering any viable alternative. They also repeatedly mischaracterize key actors, such as citizens and governments. For these reasons, the Affirmative wins.</w:t>
      </w:r>
    </w:p>
    <w:p w:rsidR="00000000" w:rsidDel="00000000" w:rsidP="00000000" w:rsidRDefault="00000000" w:rsidRPr="00000000" w14:paraId="00000018">
      <w:pPr>
        <w:numPr>
          <w:ilvl w:val="0"/>
          <w:numId w:val="2"/>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Strategic flaws</w:t>
      </w:r>
    </w:p>
    <w:p w:rsidR="00000000" w:rsidDel="00000000" w:rsidP="00000000" w:rsidRDefault="00000000" w:rsidRPr="00000000" w14:paraId="0000001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Firstly, the Negative fails to fulfill their burden by failing to provide a counter-solution. The reason for this burden is that</w:t>
      </w:r>
      <w:r w:rsidDel="00000000" w:rsidR="00000000" w:rsidRPr="00000000">
        <w:rPr>
          <w:rFonts w:ascii="Times New Roman" w:cs="Times New Roman" w:eastAsia="Times New Roman" w:hAnsi="Times New Roman"/>
          <w:i w:val="1"/>
          <w:iCs w:val="1"/>
          <w:sz w:val="24"/>
          <w:szCs w:val="24"/>
          <w:rtl w:val="0"/>
        </w:rPr>
        <w:t xml:space="preserve"> the status quo is not neutral</w:t>
      </w:r>
      <w:r w:rsidDel="00000000" w:rsidR="00000000" w:rsidRPr="00000000">
        <w:rPr>
          <w:rFonts w:ascii="Times New Roman" w:cs="Times New Roman" w:eastAsia="Times New Roman" w:hAnsi="Times New Roman"/>
          <w:sz w:val="24"/>
          <w:szCs w:val="24"/>
          <w:rtl w:val="0"/>
        </w:rPr>
        <w:t xml:space="preserve">. As mentioned, UNESCO estimates a US$97 billion per year financing gap to reach SDG 4 by 2030 (Frotte), while major donors such as the Global Partnership for Education have mobilized only a fraction of that amount over the past two decades. Additionally, recent research suggests that the influence of current IOs on education reform has weakened over time (Bromley et al.).  </w:t>
      </w:r>
    </w:p>
    <w:p w:rsidR="00000000" w:rsidDel="00000000" w:rsidP="00000000" w:rsidRDefault="00000000" w:rsidRPr="00000000" w14:paraId="0000001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Affirmative has already justified the urgent need for a new IO (Affirmative Constructive). In a policy debate, the Negative cannot win by defending inaction. If they claim the status quo is superior, they must explain how it solves the harms we identify. Simply rejecting Affirmative’s plan leaves the problem unresolved.</w:t>
      </w:r>
    </w:p>
    <w:p w:rsidR="00000000" w:rsidDel="00000000" w:rsidP="00000000" w:rsidRDefault="00000000" w:rsidRPr="00000000" w14:paraId="0000001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we reject the unfair burden the Negative pushes. We do not need to prove that we will singlehandedly provide free, quality, and universal education overnight. Instead, we recognize that funding is a necessary condition for the provision of education, as demonstrated in the majority of cases. For example, an Africa-wide study shows that increased government spending significantly improves enrollment and completion rates (Mwambi et al.). Furthermore, the Affirmative has already presented a robust three-pillar framework to ensure effectiveness (Affirmative Constructive). Therefore, the Negative cannot rely on nitpicking terms and definitions to discredit the Affirmative’s plan. In so far as the Affirmative shows that we are at least taking steps toward providing universal, free, and quality education, we have won this debate, both practically and morally.</w:t>
      </w:r>
    </w:p>
    <w:p w:rsidR="00000000" w:rsidDel="00000000" w:rsidP="00000000" w:rsidRDefault="00000000" w:rsidRPr="00000000" w14:paraId="0000001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Negative mischaracterizes the Affirmative’s proposed policy. They ignore the creation of a new IO and a binding treaty, and instead continue to argue that “the G20 is not a treaty organization… its operation mainly depends on agreement and consensus of these leaders” (Negative Constructive). This directly contradicts Affirmative’s proposal. The Affirmative has clearly defined that the 1% GDP tax is binding and enforced. This directly addresses the very problems the Negative raises, mitigating the weaknesses of voluntary arrangements.</w:t>
      </w:r>
    </w:p>
    <w:p w:rsidR="00000000" w:rsidDel="00000000" w:rsidP="00000000" w:rsidRDefault="00000000" w:rsidRPr="00000000" w14:paraId="0000001D">
      <w:pPr>
        <w:numPr>
          <w:ilvl w:val="0"/>
          <w:numId w:val="2"/>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Direct Rebuttals</w:t>
      </w:r>
      <w:r w:rsidDel="00000000" w:rsidR="00000000" w:rsidRPr="00000000">
        <w:rPr>
          <w:rtl w:val="0"/>
        </w:rPr>
      </w:r>
    </w:p>
    <w:p w:rsidR="00000000" w:rsidDel="00000000" w:rsidP="00000000" w:rsidRDefault="00000000" w:rsidRPr="00000000" w14:paraId="0000001E">
      <w:pPr>
        <w:numPr>
          <w:ilvl w:val="0"/>
          <w:numId w:val="1"/>
        </w:numPr>
        <w:spacing w:line="48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Morality</w:t>
      </w:r>
    </w:p>
    <w:p w:rsidR="00000000" w:rsidDel="00000000" w:rsidP="00000000" w:rsidRDefault="00000000" w:rsidRPr="00000000" w14:paraId="0000001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advances three claims: that the UDHR creates no obligation, that governments owe duties only to their own citizens, and that requiring poorer G20 members to contribute 1% of GDP is immoral. All rely outdated assumptions about global governance and the nature of the tax.</w:t>
      </w:r>
    </w:p>
    <w:p w:rsidR="00000000" w:rsidDel="00000000" w:rsidP="00000000" w:rsidRDefault="00000000" w:rsidRPr="00000000" w14:paraId="0000002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dismissing the UDHR as “non-binding” misunderstands soft law. Such instruments operate as consensus standards that states internalise into domestic policy, shaping real behaviour over time (Baxi). Treating them as irrelevant is inconsistent with contemporary international practice. Second, denying any extraterritorial duties ignores global interdependence. Health, climate, migration, and economic stability cross borders, meaning domestic policies affect non-citizens’ life chances. As Pogge argues, institutional responsibility extends beyond borders, a logic already reflected in the G20’s shift toward “inclusive, sustainable prosperity” as a global public good (Larionova &amp; Snower). Third, calling contributions from South Africa or Brazil “immoral” rests on a false zero-sum logic. The tax is proportional to capacity, with larger economies contributing far more. Moreover, education is not a drain but a high-return investment as it raises productivity, expands markets, improves migrant labour quality, and stabilises trade partners, benefits that feed back into G20 prosperity (Snower &amp; Pisani-Ferry).</w:t>
      </w:r>
    </w:p>
    <w:p w:rsidR="00000000" w:rsidDel="00000000" w:rsidP="00000000" w:rsidRDefault="00000000" w:rsidRPr="00000000" w14:paraId="00000021">
      <w:pPr>
        <w:numPr>
          <w:ilvl w:val="0"/>
          <w:numId w:val="1"/>
        </w:numPr>
        <w:spacing w:line="48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Commitment Deficiency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claims the G20 is too weak and hypocritical to sustain a 1% education tax, citing non-binding commitments and neoliberal priorities. This critique cherry-picks the record and misunderstands what “soft” club governance can achieve. Empirically, the G20 has repeatedly delivered coordinated action when members perceive shared stakes: during the 2008–09 financial crisis, it rapidly aligned regulation and IMF financing to prevent systemic collapse (Luckhurst et al.), and during COVID-19, it coordinated trillions in support and linked IMF and World Bank responses (Astuti; Lukash). In taxation, G20–OECD cooperation has already produced major reforms on profit shifting and multinational taxation (Kirton).</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global justice scholars argue that the same powerful states shaping inequality also bear the capacity and responsibility to reform it (Pogge). Recent scholarship documents the G20’s expanding agenda toward development, inequality, and human needs (Larionova et al.). Casting the G20 as permanently neoliberal ignores this evolution and freezes an institution that has demonstrably adapted to new global priorities.</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1"/>
        </w:numPr>
        <w:spacing w:line="48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External Infeasibility</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claims that low public trust makes a 1% of GDP education tax harmful fails on three grounds.</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low trust is not universal. Many countries maintain medium‑to‑high trust in national governments, and trust levels differ substantially across the G20 (Shabalala &amp; Photo).  </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the idea that politicians uniformly avoid tax‑based reforms due to careerism is false. Public service motivation theory shows that many officials are driven by a desire to serve the public interest and improve societal well‑being, not just maximize self‑interest. If politicians truly only followed short‑term, anti‑tax instincts, the status quo the negative defends would keep reproducing under‑funded systems and deepening cynicism. </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the Negative claims the Affirmative assumes "money alone guarantees attendance," but the Affirmative's tailored funding windows directly contradict this (Affirmative Constructive, p.9) with: grants prioritize conflict-affected states with fee abolition, teacher salaries in underserved areas, and targeted safeguards for marginalized groups. Moreover, many "cultural" barriers are economically rooted: as Marxist theorist Althusser argues, norms and values emerge from society's economic base - poverty creates opportunity costs that shape household decisions about education. The Affirmative's model addresses these material constraints through school meals, stipends, and conditional transfers that reduce the economic burden keeping children out of school. Additionally, the Negative misrepresents the Affirmative case: explicitly operationalises “quality education” through widely‑used outcome and process indicators aligned with SDG 4. Because these metrics are already used by UNESCO, the World Bank, and OECD, the Affirmative plan is actually superior.</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1"/>
        </w:numPr>
        <w:spacing w:line="48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Economic Infeasibility</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Subpoint I: Wealth tax</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Negative’s feasibility objections mischaracterize the scope of the Affirmative’s proposal as it doesn’t require the G20 to adopt any specific tax instrument. Under the Affirmative’s model, countries retain full sovereignty over how that revenue is raised, using any constitutionally compliant mix of progressive wealth or capital-income surtaxes, VAT surcharges, corporate taxes, or alternatives (Affirmative Constructive, 9).</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this flexibility is recognized, the legal argument collapses. The German and Dutch rulings cited by the Negative did not prohibit wealth taxation or international contributions as they invalidated specific national designs due to valuation inequities (Negative Constructive, 5).  Even if a country rejects a wealth tax, it can still meet the 1% obligation through other instruments. This mirrors the OECD/G20 Pillar Two model, which relies on coordinated domestic implementation (Affirmative Constructive, 9; OECD).</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Subpoint II. VAT / Corporate Income Tax:</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Negative’s VAT objections depend on extreme, non-generalizable cases. The Lebanon example occurs under conditions of currency collapse and inflation that Salti and Chaaban – authors of the UNDP study they cite – describe as an upper bound. The same source finds VAT to be slightly progressive due to basic-goods exemptions, with greater consumption losses among richer households and limited effects on extreme poverty (Negative Constructive, 6), which undermines their validity. </w:t>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contrast, OECD microsimulation evidence across 27 OECD countries shows VAT is roughly proportional or mildly progressive when measured against expenditure, and any regressivity can be offset through targeted transfers and zero-rating essentials (Thomas). </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Affirmative’s design incorporates those protections, spreads the 1%-of-GDP burden across wealthy economies and multiple instruments, and yields long-run human-capital gains that outweigh any marginal indirect tax effects (Psacharopoulos). </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numPr>
          <w:ilvl w:val="0"/>
          <w:numId w:val="1"/>
        </w:numPr>
        <w:spacing w:line="48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Governance structure and internal feasibility</w:t>
      </w:r>
    </w:p>
    <w:p w:rsidR="00000000" w:rsidDel="00000000" w:rsidP="00000000" w:rsidRDefault="00000000" w:rsidRPr="00000000" w14:paraId="0000004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overstates the legal obstacle and ignores how international funding already works. Their reliance on the “Revenue Rule” mischaracterizes Affirmative’s proposal. The Affirmative are not asking courts to collect another country’s taxes. The Affirmative are creating a treaty-based contribution system, backed by a new IO and a transparent, binding framework that aligns with states’ economic and social interests. In modern tax governance, compliance is often secured through multilateral standards, soft law, and information-sharing (Stewart). If the Revenue Rule truly prevented treaty-based transfers, then institutions like the UN, IMF, World Bank, and WHO, all funded by assessed national contributions, could not exist.</w:t>
      </w:r>
    </w:p>
    <w:p w:rsidR="00000000" w:rsidDel="00000000" w:rsidP="00000000" w:rsidRDefault="00000000" w:rsidRPr="00000000" w14:paraId="0000004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the Affirmative model is more stable than the status quo. Domestic education funding is constantly exposed to short-term budget fights, like France’s 2025 turmoil or U.S. shutdown threats, where partisan bargaining can freeze long-term investment. A 1% of GDP education levy looks more like existing solidarity levies and fiscal rules that states have already integrated into ordinary budget processes, such as UNITAID-style levies. And given the massive economic losses from widespread low learning outcomes, this modest political adjustment is a defensible tradeoff.</w:t>
      </w:r>
    </w:p>
    <w:p w:rsidR="00000000" w:rsidDel="00000000" w:rsidP="00000000" w:rsidRDefault="00000000" w:rsidRPr="00000000" w14:paraId="00000043">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Clashes</w:t>
      </w:r>
    </w:p>
    <w:p w:rsidR="00000000" w:rsidDel="00000000" w:rsidP="00000000" w:rsidRDefault="00000000" w:rsidRPr="00000000" w14:paraId="00000044">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numPr>
          <w:ilvl w:val="0"/>
          <w:numId w:val="3"/>
        </w:numPr>
        <w:spacing w:line="48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Implementation</w:t>
      </w:r>
    </w:p>
    <w:p w:rsidR="00000000" w:rsidDel="00000000" w:rsidP="00000000" w:rsidRDefault="00000000" w:rsidRPr="00000000" w14:paraId="00000046">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the Negative never engages the Affirmative’s actual mechanism - Affirmative’s binding treaty,  funding strategy, or checks and balances. Their argument is non-responsive: they just assert that the G20 is weak (which is already disproven). Even if wealth taxes face design constraints in some countries, states can raise the revenue through other constitutional mixes. At best, the Negative shows tradeoffs and design questions, not infeasibility. Meanwhile, they offer no alternative way to close the financing gap, so rejecting the plan only perpetuates the status quo failure. For these reasons, we win this clash.</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numPr>
          <w:ilvl w:val="0"/>
          <w:numId w:val="3"/>
        </w:numPr>
        <w:spacing w:line="48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Net benefit/harm</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Negative’s harms, such as cost, political instability and loss of public trust, are overstated and poorly supported. In terms of likelihood, the Negative relies almost exclusively on U.S.-based examples, which cannot be generalized globally. They also fail to characterize citizens, ignoring the strong incentive most populations have to support investments in education that directly benefit future economic and social outcomes. In terms of impact, even if these harms occur, they are at most short-term challenges. By contrast, the benefits of the Affirmative’s plan are long-term and sustainable. Education is one of the strongest drivers of economic growth and greater political stability, meaning the plan ultimately mitigates the very harm the Negative claims. Finally, even in the Negative’s best-case scenario, these effects are manageable and reversible through transparency and accountability mechanisms. As a result, the Affirmative clearly outweighs the Negative in this clash.</w:t>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4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has not met their burden. They defend a status quo that leaves hundreds of millions of children without access to universal, free, and quality education, yet offer no viable solution to close the documented financing gap. Rejecting the plan therefore accepts continued exclusion and inequality.</w:t>
      </w:r>
    </w:p>
    <w:p w:rsidR="00000000" w:rsidDel="00000000" w:rsidP="00000000" w:rsidRDefault="00000000" w:rsidRPr="00000000" w14:paraId="0000004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contrast, the Affirmative has shown three things. First, the G20 has a moral responsibility grounded in human-rights commitments and the global impacts of its economic policies. Second, education is a high-return investment that generates long-term economic growth, social stability, and human development that outweigh short-term costs. Third, the policy is feasible: the 1% GDP contribution preserves sovereignty, allows flexible domestic tax choices, is secured through a binding treaty, and administered by a transparent, accountable IO. For these reasons, the Affirmative should prevail.</w:t>
      </w:r>
    </w:p>
    <w:p w:rsidR="00000000" w:rsidDel="00000000" w:rsidP="00000000" w:rsidRDefault="00000000" w:rsidRPr="00000000" w14:paraId="00000050">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EB Garamond" w:cs="EB Garamond" w:eastAsia="EB Garamond" w:hAnsi="EB Garamond"/>
          <w:b w:val="1"/>
          <w:bCs w:val="1"/>
          <w:sz w:val="24"/>
          <w:szCs w:val="24"/>
        </w:rPr>
      </w:pPr>
      <w:r w:rsidDel="00000000" w:rsidR="00000000" w:rsidRPr="00000000">
        <w:rPr>
          <w:rFonts w:ascii="EB Garamond" w:cs="EB Garamond" w:eastAsia="EB Garamond" w:hAnsi="EB Garamond"/>
          <w:b w:val="1"/>
          <w:bCs w:val="1"/>
          <w:sz w:val="24"/>
          <w:szCs w:val="24"/>
          <w:rtl w:val="0"/>
        </w:rPr>
        <w:t xml:space="preserve">Bibliography: </w:t>
      </w:r>
    </w:p>
    <w:p w:rsidR="00000000" w:rsidDel="00000000" w:rsidP="00000000" w:rsidRDefault="00000000" w:rsidRPr="00000000" w14:paraId="00000056">
      <w:pPr>
        <w:rPr>
          <w:rFonts w:ascii="EB Garamond" w:cs="EB Garamond" w:eastAsia="EB Garamond" w:hAnsi="EB Garamond"/>
          <w:b w:val="1"/>
          <w:bCs w:val="1"/>
          <w:sz w:val="24"/>
          <w:szCs w:val="24"/>
        </w:rPr>
      </w:pPr>
      <w:r w:rsidDel="00000000" w:rsidR="00000000" w:rsidRPr="00000000">
        <w:rPr>
          <w:rtl w:val="0"/>
        </w:rPr>
      </w:r>
    </w:p>
    <w:p w:rsidR="00000000" w:rsidDel="00000000" w:rsidP="00000000" w:rsidRDefault="00000000" w:rsidRPr="00000000" w14:paraId="00000057">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Axel Berger et al. "A decade of G20 summitry: Assessing the benefits, limitations and future of global club governance in turbulent times." South African Journal of International Affairs, 26 (2019): 493 - 504. </w:t>
      </w:r>
      <w:hyperlink r:id="rId6">
        <w:r w:rsidDel="00000000" w:rsidR="00000000" w:rsidRPr="00000000">
          <w:rPr>
            <w:rFonts w:ascii="EB Garamond" w:cs="EB Garamond" w:eastAsia="EB Garamond" w:hAnsi="EB Garamond"/>
            <w:sz w:val="26"/>
            <w:szCs w:val="26"/>
            <w:rtl w:val="0"/>
          </w:rPr>
          <w:t xml:space="preserve">https://doi.org/10.1080/10220461.2019.1705889</w:t>
        </w:r>
      </w:hyperlink>
      <w:r w:rsidDel="00000000" w:rsidR="00000000" w:rsidRPr="00000000">
        <w:rPr>
          <w:rFonts w:ascii="EB Garamond" w:cs="EB Garamond" w:eastAsia="EB Garamond" w:hAnsi="EB Garamond"/>
          <w:sz w:val="26"/>
          <w:szCs w:val="26"/>
          <w:rtl w:val="0"/>
        </w:rPr>
        <w:t xml:space="preserve"> </w:t>
      </w:r>
    </w:p>
    <w:p w:rsidR="00000000" w:rsidDel="00000000" w:rsidP="00000000" w:rsidRDefault="00000000" w:rsidRPr="00000000" w14:paraId="00000058">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Brockmeyer, Anne, and David Phillips. “Tax Equity around the World: A Discussion.” Fiscal Studies, vol. 44, no. 3, 1 Sept. 2023, pp. 237–241, </w:t>
      </w:r>
      <w:hyperlink r:id="rId7">
        <w:r w:rsidDel="00000000" w:rsidR="00000000" w:rsidRPr="00000000">
          <w:rPr>
            <w:rFonts w:ascii="EB Garamond" w:cs="EB Garamond" w:eastAsia="EB Garamond" w:hAnsi="EB Garamond"/>
            <w:sz w:val="26"/>
            <w:szCs w:val="26"/>
            <w:rtl w:val="0"/>
          </w:rPr>
          <w:t xml:space="preserve">https://doi.org/10.1111/1475-5890.12342</w:t>
        </w:r>
      </w:hyperlink>
      <w:r w:rsidDel="00000000" w:rsidR="00000000" w:rsidRPr="00000000">
        <w:rPr>
          <w:rFonts w:ascii="EB Garamond" w:cs="EB Garamond" w:eastAsia="EB Garamond" w:hAnsi="EB Garamond"/>
          <w:sz w:val="26"/>
          <w:szCs w:val="26"/>
          <w:rtl w:val="0"/>
        </w:rPr>
        <w:t xml:space="preserve">.</w:t>
      </w:r>
    </w:p>
    <w:p w:rsidR="00000000" w:rsidDel="00000000" w:rsidP="00000000" w:rsidRDefault="00000000" w:rsidRPr="00000000" w14:paraId="00000059">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Bromley, Patricia, et al. “Education Reform in the Twenty-First Century: Declining Emphases in International Organisation Reports, 1998–2018.” Globalisation, Societies and Education, 9 Sept. 2020, pp. 1–18, </w:t>
      </w:r>
      <w:hyperlink r:id="rId8">
        <w:r w:rsidDel="00000000" w:rsidR="00000000" w:rsidRPr="00000000">
          <w:rPr>
            <w:rFonts w:ascii="EB Garamond" w:cs="EB Garamond" w:eastAsia="EB Garamond" w:hAnsi="EB Garamond"/>
            <w:sz w:val="26"/>
            <w:szCs w:val="26"/>
            <w:rtl w:val="0"/>
          </w:rPr>
          <w:t xml:space="preserve">https://doi.org/10.1080/14767724.2020.1816159</w:t>
        </w:r>
      </w:hyperlink>
      <w:r w:rsidDel="00000000" w:rsidR="00000000" w:rsidRPr="00000000">
        <w:rPr>
          <w:rFonts w:ascii="EB Garamond" w:cs="EB Garamond" w:eastAsia="EB Garamond" w:hAnsi="EB Garamond"/>
          <w:sz w:val="26"/>
          <w:szCs w:val="26"/>
          <w:rtl w:val="0"/>
        </w:rPr>
        <w:t xml:space="preserve">.</w:t>
      </w:r>
    </w:p>
    <w:p w:rsidR="00000000" w:rsidDel="00000000" w:rsidP="00000000" w:rsidRDefault="00000000" w:rsidRPr="00000000" w14:paraId="0000005A">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Constantinos Challoumis Κωνσταντίνος Χαλλουμής et al. "The Impact Factor of Education on the Public Sector – The Case of the U.S.." Public Economics: Taxation (2020). </w:t>
      </w:r>
      <w:hyperlink r:id="rId9">
        <w:r w:rsidDel="00000000" w:rsidR="00000000" w:rsidRPr="00000000">
          <w:rPr>
            <w:rFonts w:ascii="EB Garamond" w:cs="EB Garamond" w:eastAsia="EB Garamond" w:hAnsi="EB Garamond"/>
            <w:sz w:val="26"/>
            <w:szCs w:val="26"/>
            <w:rtl w:val="0"/>
          </w:rPr>
          <w:t xml:space="preserve">https://doi.org/10.25103/ijbesar.131.07</w:t>
        </w:r>
      </w:hyperlink>
      <w:r w:rsidDel="00000000" w:rsidR="00000000" w:rsidRPr="00000000">
        <w:rPr>
          <w:rtl w:val="0"/>
        </w:rPr>
      </w:r>
    </w:p>
    <w:p w:rsidR="00000000" w:rsidDel="00000000" w:rsidP="00000000" w:rsidRDefault="00000000" w:rsidRPr="00000000" w14:paraId="0000005B">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D. Snower et al. "The G20 at a crossroads: the future of global governance." Economics, 12 (2018). </w:t>
      </w:r>
      <w:hyperlink r:id="rId10">
        <w:r w:rsidDel="00000000" w:rsidR="00000000" w:rsidRPr="00000000">
          <w:rPr>
            <w:rFonts w:ascii="EB Garamond" w:cs="EB Garamond" w:eastAsia="EB Garamond" w:hAnsi="EB Garamond"/>
            <w:sz w:val="26"/>
            <w:szCs w:val="26"/>
            <w:rtl w:val="0"/>
          </w:rPr>
          <w:t xml:space="preserve">https://doi.org/10.5018/economics-ejournal.ja.2018-22</w:t>
        </w:r>
      </w:hyperlink>
      <w:r w:rsidDel="00000000" w:rsidR="00000000" w:rsidRPr="00000000">
        <w:rPr>
          <w:rtl w:val="0"/>
        </w:rPr>
      </w:r>
    </w:p>
    <w:p w:rsidR="00000000" w:rsidDel="00000000" w:rsidP="00000000" w:rsidRDefault="00000000" w:rsidRPr="00000000" w14:paraId="0000005C">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D. Stone et al. "The Group of 20 transnational policy community: governance networks, policy analysis and think tanks." International Review of Administrative Sciences, 81 (2015): 793 - 811. </w:t>
      </w:r>
      <w:hyperlink r:id="rId11">
        <w:r w:rsidDel="00000000" w:rsidR="00000000" w:rsidRPr="00000000">
          <w:rPr>
            <w:rFonts w:ascii="EB Garamond" w:cs="EB Garamond" w:eastAsia="EB Garamond" w:hAnsi="EB Garamond"/>
            <w:sz w:val="26"/>
            <w:szCs w:val="26"/>
            <w:rtl w:val="0"/>
          </w:rPr>
          <w:t xml:space="preserve">https://doi.org/10.1177/0020852314558035</w:t>
        </w:r>
      </w:hyperlink>
      <w:r w:rsidDel="00000000" w:rsidR="00000000" w:rsidRPr="00000000">
        <w:rPr>
          <w:rtl w:val="0"/>
        </w:rPr>
      </w:r>
    </w:p>
    <w:p w:rsidR="00000000" w:rsidDel="00000000" w:rsidP="00000000" w:rsidRDefault="00000000" w:rsidRPr="00000000" w14:paraId="0000005D">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E. Kireeva et al. "Tax Support for Education for Sustainable Development in the EEC Countries." Economics, taxes &amp; law (2023). </w:t>
      </w:r>
      <w:hyperlink r:id="rId12">
        <w:r w:rsidDel="00000000" w:rsidR="00000000" w:rsidRPr="00000000">
          <w:rPr>
            <w:rFonts w:ascii="EB Garamond" w:cs="EB Garamond" w:eastAsia="EB Garamond" w:hAnsi="EB Garamond"/>
            <w:sz w:val="26"/>
            <w:szCs w:val="26"/>
            <w:rtl w:val="0"/>
          </w:rPr>
          <w:t xml:space="preserve">https://doi.org/10.26794/1999-849x-2023-16-4-136-145</w:t>
        </w:r>
      </w:hyperlink>
      <w:r w:rsidDel="00000000" w:rsidR="00000000" w:rsidRPr="00000000">
        <w:rPr>
          <w:rtl w:val="0"/>
        </w:rPr>
      </w:r>
    </w:p>
    <w:p w:rsidR="00000000" w:rsidDel="00000000" w:rsidP="00000000" w:rsidRDefault="00000000" w:rsidRPr="00000000" w14:paraId="0000005E">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Global Solidarity Levies Task Force. “What Is a Solidarity Levy? | Global Solidarity Levies Task Force.” Global Solidarity Levies Task Force, 25 June 2025, solidaritylevies.org/what-is-a-solidarity-levy/.</w:t>
      </w:r>
    </w:p>
    <w:p w:rsidR="00000000" w:rsidDel="00000000" w:rsidP="00000000" w:rsidRDefault="00000000" w:rsidRPr="00000000" w14:paraId="0000005F">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Haggai Kennedy Ochieng et al. "Political Economy of Education: Assessing Institutional and Structural Constraints to Quality and Access to Education Opportunities in Tanzania." SAGE Open, 11 (2021). </w:t>
      </w:r>
      <w:hyperlink r:id="rId13">
        <w:r w:rsidDel="00000000" w:rsidR="00000000" w:rsidRPr="00000000">
          <w:rPr>
            <w:rFonts w:ascii="EB Garamond" w:cs="EB Garamond" w:eastAsia="EB Garamond" w:hAnsi="EB Garamond"/>
            <w:sz w:val="26"/>
            <w:szCs w:val="26"/>
            <w:rtl w:val="0"/>
          </w:rPr>
          <w:t xml:space="preserve">https://doi.org/10.1177/21582440211047204</w:t>
        </w:r>
      </w:hyperlink>
      <w:r w:rsidDel="00000000" w:rsidR="00000000" w:rsidRPr="00000000">
        <w:rPr>
          <w:rtl w:val="0"/>
        </w:rPr>
      </w:r>
    </w:p>
    <w:p w:rsidR="00000000" w:rsidDel="00000000" w:rsidP="00000000" w:rsidRDefault="00000000" w:rsidRPr="00000000" w14:paraId="00000060">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Işık D. Özel et al. "When trade-offs touch self-interests: attitudes on education spending in a cross-country analysis." Journal of Social Policy (2025). </w:t>
      </w:r>
      <w:hyperlink r:id="rId14">
        <w:r w:rsidDel="00000000" w:rsidR="00000000" w:rsidRPr="00000000">
          <w:rPr>
            <w:rFonts w:ascii="EB Garamond" w:cs="EB Garamond" w:eastAsia="EB Garamond" w:hAnsi="EB Garamond"/>
            <w:sz w:val="26"/>
            <w:szCs w:val="26"/>
            <w:rtl w:val="0"/>
          </w:rPr>
          <w:t xml:space="preserve">https://doi.org/10.1017/s0047279425100883</w:t>
        </w:r>
      </w:hyperlink>
      <w:r w:rsidDel="00000000" w:rsidR="00000000" w:rsidRPr="00000000">
        <w:rPr>
          <w:rtl w:val="0"/>
        </w:rPr>
      </w:r>
    </w:p>
    <w:p w:rsidR="00000000" w:rsidDel="00000000" w:rsidP="00000000" w:rsidRDefault="00000000" w:rsidRPr="00000000" w14:paraId="00000061">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J. Kirton et al. "Globalization’s Implications for G20 Governance." International Organisations Research Journal (2020). </w:t>
      </w:r>
      <w:hyperlink r:id="rId15">
        <w:r w:rsidDel="00000000" w:rsidR="00000000" w:rsidRPr="00000000">
          <w:rPr>
            <w:rFonts w:ascii="EB Garamond" w:cs="EB Garamond" w:eastAsia="EB Garamond" w:hAnsi="EB Garamond"/>
            <w:sz w:val="26"/>
            <w:szCs w:val="26"/>
            <w:rtl w:val="0"/>
          </w:rPr>
          <w:t xml:space="preserve">https://doi.org/10.17323/1996-7845-2020-02-02</w:t>
        </w:r>
      </w:hyperlink>
      <w:r w:rsidDel="00000000" w:rsidR="00000000" w:rsidRPr="00000000">
        <w:rPr>
          <w:rtl w:val="0"/>
        </w:rPr>
      </w:r>
    </w:p>
    <w:p w:rsidR="00000000" w:rsidDel="00000000" w:rsidP="00000000" w:rsidRDefault="00000000" w:rsidRPr="00000000" w14:paraId="00000062">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J. Luckhurst et al. "The New G20 Politics of Global Economic Governance." International Organisations Research Journal (2020). </w:t>
      </w:r>
      <w:hyperlink r:id="rId16">
        <w:r w:rsidDel="00000000" w:rsidR="00000000" w:rsidRPr="00000000">
          <w:rPr>
            <w:rFonts w:ascii="EB Garamond" w:cs="EB Garamond" w:eastAsia="EB Garamond" w:hAnsi="EB Garamond"/>
            <w:sz w:val="26"/>
            <w:szCs w:val="26"/>
            <w:rtl w:val="0"/>
          </w:rPr>
          <w:t xml:space="preserve">https://doi.org/10.17323/1996-7845-2020-02-03</w:t>
        </w:r>
      </w:hyperlink>
      <w:r w:rsidDel="00000000" w:rsidR="00000000" w:rsidRPr="00000000">
        <w:rPr>
          <w:rtl w:val="0"/>
        </w:rPr>
      </w:r>
    </w:p>
    <w:p w:rsidR="00000000" w:rsidDel="00000000" w:rsidP="00000000" w:rsidRDefault="00000000" w:rsidRPr="00000000" w14:paraId="00000063">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J. Pisani-Ferry et al. "Can economic multilateralism survive?." Economic Affairs (2019). </w:t>
      </w:r>
      <w:hyperlink r:id="rId17">
        <w:r w:rsidDel="00000000" w:rsidR="00000000" w:rsidRPr="00000000">
          <w:rPr>
            <w:rFonts w:ascii="EB Garamond" w:cs="EB Garamond" w:eastAsia="EB Garamond" w:hAnsi="EB Garamond"/>
            <w:sz w:val="26"/>
            <w:szCs w:val="26"/>
            <w:rtl w:val="0"/>
          </w:rPr>
          <w:t xml:space="preserve">https://doi.org/10.1111/ecaf.12331</w:t>
        </w:r>
      </w:hyperlink>
      <w:r w:rsidDel="00000000" w:rsidR="00000000" w:rsidRPr="00000000">
        <w:rPr>
          <w:rtl w:val="0"/>
        </w:rPr>
      </w:r>
    </w:p>
    <w:p w:rsidR="00000000" w:rsidDel="00000000" w:rsidP="00000000" w:rsidRDefault="00000000" w:rsidRPr="00000000" w14:paraId="00000064">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J. Pisani-Ferry et al. "Should We Give Up on Global Governance?." PSN: Other International Institutions: Politics of International Institutions &amp; Global Governance (Topic) (2018). </w:t>
      </w:r>
      <w:hyperlink r:id="rId18">
        <w:r w:rsidDel="00000000" w:rsidR="00000000" w:rsidRPr="00000000">
          <w:rPr>
            <w:rFonts w:ascii="EB Garamond" w:cs="EB Garamond" w:eastAsia="EB Garamond" w:hAnsi="EB Garamond"/>
            <w:sz w:val="26"/>
            <w:szCs w:val="26"/>
            <w:rtl w:val="0"/>
          </w:rPr>
          <w:t xml:space="preserve">https://doi.org/10.2139/ssrn.3296417</w:t>
        </w:r>
      </w:hyperlink>
      <w:r w:rsidDel="00000000" w:rsidR="00000000" w:rsidRPr="00000000">
        <w:rPr>
          <w:rtl w:val="0"/>
        </w:rPr>
      </w:r>
    </w:p>
    <w:p w:rsidR="00000000" w:rsidDel="00000000" w:rsidP="00000000" w:rsidRDefault="00000000" w:rsidRPr="00000000" w14:paraId="00000065">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Katherine E Smith et al. "New health taxes in Ghana: a qualitative study exploring potential public support." Health Policy and Planning, 40 (2025): 831 - 842. </w:t>
      </w:r>
      <w:hyperlink r:id="rId19">
        <w:r w:rsidDel="00000000" w:rsidR="00000000" w:rsidRPr="00000000">
          <w:rPr>
            <w:rFonts w:ascii="EB Garamond" w:cs="EB Garamond" w:eastAsia="EB Garamond" w:hAnsi="EB Garamond"/>
            <w:sz w:val="26"/>
            <w:szCs w:val="26"/>
            <w:rtl w:val="0"/>
          </w:rPr>
          <w:t xml:space="preserve">https://doi.org/10.1093/heapol/czaf042</w:t>
        </w:r>
      </w:hyperlink>
      <w:r w:rsidDel="00000000" w:rsidR="00000000" w:rsidRPr="00000000">
        <w:rPr>
          <w:rtl w:val="0"/>
        </w:rPr>
      </w:r>
    </w:p>
    <w:p w:rsidR="00000000" w:rsidDel="00000000" w:rsidP="00000000" w:rsidRDefault="00000000" w:rsidRPr="00000000" w14:paraId="00000066">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M. Larionova et al. "A Brief History of the G20 Institutional Dynamics (2008-2021)." International Organisations Research Journal (2022). </w:t>
      </w:r>
      <w:hyperlink r:id="rId20">
        <w:r w:rsidDel="00000000" w:rsidR="00000000" w:rsidRPr="00000000">
          <w:rPr>
            <w:rFonts w:ascii="EB Garamond" w:cs="EB Garamond" w:eastAsia="EB Garamond" w:hAnsi="EB Garamond"/>
            <w:sz w:val="26"/>
            <w:szCs w:val="26"/>
            <w:rtl w:val="0"/>
          </w:rPr>
          <w:t xml:space="preserve">https://doi.org/10.17323/1996-7845-2022-02-11</w:t>
        </w:r>
      </w:hyperlink>
      <w:r w:rsidDel="00000000" w:rsidR="00000000" w:rsidRPr="00000000">
        <w:rPr>
          <w:rtl w:val="0"/>
        </w:rPr>
      </w:r>
    </w:p>
    <w:p w:rsidR="00000000" w:rsidDel="00000000" w:rsidP="00000000" w:rsidRDefault="00000000" w:rsidRPr="00000000" w14:paraId="00000067">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M. Oyinlola et al. "Tax structure, human capital, and inclusive growth: A sub‐Saharan Africa perspective." Journal of Public Affairs (2021). </w:t>
      </w:r>
      <w:hyperlink r:id="rId21">
        <w:r w:rsidDel="00000000" w:rsidR="00000000" w:rsidRPr="00000000">
          <w:rPr>
            <w:rFonts w:ascii="EB Garamond" w:cs="EB Garamond" w:eastAsia="EB Garamond" w:hAnsi="EB Garamond"/>
            <w:sz w:val="26"/>
            <w:szCs w:val="26"/>
            <w:rtl w:val="0"/>
          </w:rPr>
          <w:t xml:space="preserve">https://doi.org/10.1002/pa.2670</w:t>
        </w:r>
      </w:hyperlink>
      <w:r w:rsidDel="00000000" w:rsidR="00000000" w:rsidRPr="00000000">
        <w:rPr>
          <w:rtl w:val="0"/>
        </w:rPr>
      </w:r>
    </w:p>
    <w:p w:rsidR="00000000" w:rsidDel="00000000" w:rsidP="00000000" w:rsidRDefault="00000000" w:rsidRPr="00000000" w14:paraId="00000068">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Maria Ron Balsera et al. "Financing education: why should tax justice be part of the solution?." Compare: A Journal of Comparative and International Education, 48 (2018): 147 - 162. </w:t>
      </w:r>
      <w:hyperlink r:id="rId22">
        <w:r w:rsidDel="00000000" w:rsidR="00000000" w:rsidRPr="00000000">
          <w:rPr>
            <w:rFonts w:ascii="EB Garamond" w:cs="EB Garamond" w:eastAsia="EB Garamond" w:hAnsi="EB Garamond"/>
            <w:sz w:val="26"/>
            <w:szCs w:val="26"/>
            <w:rtl w:val="0"/>
          </w:rPr>
          <w:t xml:space="preserve">https://doi.org/10.1080/03057925.2017.1394743</w:t>
        </w:r>
      </w:hyperlink>
      <w:r w:rsidDel="00000000" w:rsidR="00000000" w:rsidRPr="00000000">
        <w:rPr>
          <w:rtl w:val="0"/>
        </w:rPr>
      </w:r>
    </w:p>
    <w:p w:rsidR="00000000" w:rsidDel="00000000" w:rsidP="00000000" w:rsidRDefault="00000000" w:rsidRPr="00000000" w14:paraId="00000069">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Maria Ron-Balsera et al. "Why Should Tax Justice Be Part of the Solution to Finance Free Good Quality Education? A Multi-country Study: Pakistan, Ghana, Kenya and Uganda." ** (2018): 39-49. </w:t>
      </w:r>
      <w:hyperlink r:id="rId23">
        <w:r w:rsidDel="00000000" w:rsidR="00000000" w:rsidRPr="00000000">
          <w:rPr>
            <w:rFonts w:ascii="EB Garamond" w:cs="EB Garamond" w:eastAsia="EB Garamond" w:hAnsi="EB Garamond"/>
            <w:sz w:val="26"/>
            <w:szCs w:val="26"/>
            <w:rtl w:val="0"/>
          </w:rPr>
          <w:t xml:space="preserve">https://doi.org/10.1007/978-3-319-90388-0_3</w:t>
        </w:r>
      </w:hyperlink>
      <w:r w:rsidDel="00000000" w:rsidR="00000000" w:rsidRPr="00000000">
        <w:rPr>
          <w:rtl w:val="0"/>
        </w:rPr>
      </w:r>
    </w:p>
    <w:p w:rsidR="00000000" w:rsidDel="00000000" w:rsidP="00000000" w:rsidRDefault="00000000" w:rsidRPr="00000000" w14:paraId="0000006A">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Md. Mominur Rahman et al. "Impact of taxes on the 2030 agenda for sustainable development: Evidence from organization for economic co-operation and development (OECD) countries." Regional Sustainability (2023). </w:t>
      </w:r>
      <w:hyperlink r:id="rId24">
        <w:r w:rsidDel="00000000" w:rsidR="00000000" w:rsidRPr="00000000">
          <w:rPr>
            <w:rFonts w:ascii="EB Garamond" w:cs="EB Garamond" w:eastAsia="EB Garamond" w:hAnsi="EB Garamond"/>
            <w:sz w:val="26"/>
            <w:szCs w:val="26"/>
            <w:rtl w:val="0"/>
          </w:rPr>
          <w:t xml:space="preserve">https://doi.org/10.1016/j.regsus.2023.07.001</w:t>
        </w:r>
      </w:hyperlink>
      <w:r w:rsidDel="00000000" w:rsidR="00000000" w:rsidRPr="00000000">
        <w:rPr>
          <w:rtl w:val="0"/>
        </w:rPr>
      </w:r>
    </w:p>
    <w:p w:rsidR="00000000" w:rsidDel="00000000" w:rsidP="00000000" w:rsidRDefault="00000000" w:rsidRPr="00000000" w14:paraId="0000006B">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Michelle J. Neuman et al. "Political Prioritization of Early Childhood Education in Low- and Middle-Income Countries." Research Papers in Economics (2021). </w:t>
      </w:r>
      <w:hyperlink r:id="rId25">
        <w:r w:rsidDel="00000000" w:rsidR="00000000" w:rsidRPr="00000000">
          <w:rPr>
            <w:rFonts w:ascii="EB Garamond" w:cs="EB Garamond" w:eastAsia="EB Garamond" w:hAnsi="EB Garamond"/>
            <w:sz w:val="26"/>
            <w:szCs w:val="26"/>
            <w:rtl w:val="0"/>
          </w:rPr>
          <w:t xml:space="preserve">https://doi.org/10.1596/1813-9450-9549</w:t>
        </w:r>
      </w:hyperlink>
      <w:r w:rsidDel="00000000" w:rsidR="00000000" w:rsidRPr="00000000">
        <w:rPr>
          <w:rtl w:val="0"/>
        </w:rPr>
      </w:r>
    </w:p>
    <w:p w:rsidR="00000000" w:rsidDel="00000000" w:rsidP="00000000" w:rsidRDefault="00000000" w:rsidRPr="00000000" w14:paraId="0000006C">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Nancy Birdsall et al. "Towards Universal Primary Education: Investments, Incentives, and Institutions.." European Journal of Education, 40 (2005): 337-349. </w:t>
      </w:r>
      <w:hyperlink r:id="rId26">
        <w:r w:rsidDel="00000000" w:rsidR="00000000" w:rsidRPr="00000000">
          <w:rPr>
            <w:rFonts w:ascii="EB Garamond" w:cs="EB Garamond" w:eastAsia="EB Garamond" w:hAnsi="EB Garamond"/>
            <w:sz w:val="26"/>
            <w:szCs w:val="26"/>
            <w:rtl w:val="0"/>
          </w:rPr>
          <w:t xml:space="preserve">https://doi.org/10.1111/j.1465-3435.2005.00230.x</w:t>
        </w:r>
      </w:hyperlink>
      <w:r w:rsidDel="00000000" w:rsidR="00000000" w:rsidRPr="00000000">
        <w:rPr>
          <w:rtl w:val="0"/>
        </w:rPr>
      </w:r>
    </w:p>
    <w:p w:rsidR="00000000" w:rsidDel="00000000" w:rsidP="00000000" w:rsidRDefault="00000000" w:rsidRPr="00000000" w14:paraId="0000006D">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N. P. Shabalala et al. "Global Citizenship Education: a strategic framework for G20 solutions to economic challenges and the 2030 Sustainable Development Goals." Journal of Global Responsibility (2025). </w:t>
      </w:r>
      <w:hyperlink r:id="rId27">
        <w:r w:rsidDel="00000000" w:rsidR="00000000" w:rsidRPr="00000000">
          <w:rPr>
            <w:rFonts w:ascii="EB Garamond" w:cs="EB Garamond" w:eastAsia="EB Garamond" w:hAnsi="EB Garamond"/>
            <w:sz w:val="26"/>
            <w:szCs w:val="26"/>
            <w:rtl w:val="0"/>
          </w:rPr>
          <w:t xml:space="preserve">https://doi.org/10.1108/jgr-03-2025-0054</w:t>
        </w:r>
      </w:hyperlink>
      <w:r w:rsidDel="00000000" w:rsidR="00000000" w:rsidRPr="00000000">
        <w:rPr>
          <w:rtl w:val="0"/>
        </w:rPr>
      </w:r>
    </w:p>
    <w:p w:rsidR="00000000" w:rsidDel="00000000" w:rsidP="00000000" w:rsidRDefault="00000000" w:rsidRPr="00000000" w14:paraId="0000006E">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Niyonagize Jean Pierre et al. "The Impact of Public Educational Investment on Students’ Academic Performance in Public Secondary Schools: A Case Study of Nyamasheke District, Rwanda." Asian Research Journal of Arts &amp; Social Sciences (2025). </w:t>
      </w:r>
      <w:hyperlink r:id="rId28">
        <w:r w:rsidDel="00000000" w:rsidR="00000000" w:rsidRPr="00000000">
          <w:rPr>
            <w:rFonts w:ascii="EB Garamond" w:cs="EB Garamond" w:eastAsia="EB Garamond" w:hAnsi="EB Garamond"/>
            <w:sz w:val="26"/>
            <w:szCs w:val="26"/>
            <w:rtl w:val="0"/>
          </w:rPr>
          <w:t xml:space="preserve">https://doi.org/10.9734/arjass/2025/v23i10800</w:t>
        </w:r>
      </w:hyperlink>
      <w:r w:rsidDel="00000000" w:rsidR="00000000" w:rsidRPr="00000000">
        <w:rPr>
          <w:rtl w:val="0"/>
        </w:rPr>
      </w:r>
    </w:p>
    <w:p w:rsidR="00000000" w:rsidDel="00000000" w:rsidP="00000000" w:rsidRDefault="00000000" w:rsidRPr="00000000" w14:paraId="0000006F">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OECD. “Minimum Tax Implementation Handbook (Pillar Two).” oecd.org, 2023. https://www.oecd.org/content/dam/oecd/en/topics/policy-sub-issues/global-minimum-tax/minimum-tax-implementation-handbook-pillar-two.pdf?‌</w:t>
      </w:r>
    </w:p>
    <w:p w:rsidR="00000000" w:rsidDel="00000000" w:rsidP="00000000" w:rsidRDefault="00000000" w:rsidRPr="00000000" w14:paraId="00000070">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Pietro Maffettone et al. "COVID‐19: A Make or Break Moment for Global Policy Making." Global Policy, 11 (2020): 501 - 507. </w:t>
      </w:r>
      <w:hyperlink r:id="rId29">
        <w:r w:rsidDel="00000000" w:rsidR="00000000" w:rsidRPr="00000000">
          <w:rPr>
            <w:rFonts w:ascii="EB Garamond" w:cs="EB Garamond" w:eastAsia="EB Garamond" w:hAnsi="EB Garamond"/>
            <w:sz w:val="26"/>
            <w:szCs w:val="26"/>
            <w:rtl w:val="0"/>
          </w:rPr>
          <w:t xml:space="preserve">https://doi.org/10.1111/1758-5899.12860</w:t>
        </w:r>
      </w:hyperlink>
      <w:r w:rsidDel="00000000" w:rsidR="00000000" w:rsidRPr="00000000">
        <w:rPr>
          <w:rtl w:val="0"/>
        </w:rPr>
      </w:r>
    </w:p>
    <w:p w:rsidR="00000000" w:rsidDel="00000000" w:rsidP="00000000" w:rsidRDefault="00000000" w:rsidRPr="00000000" w14:paraId="00000071">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Psacharopoulos, George. “Education as an investment.” elibrary.imf.org, 1982, </w:t>
      </w:r>
      <w:hyperlink r:id="rId30">
        <w:r w:rsidDel="00000000" w:rsidR="00000000" w:rsidRPr="00000000">
          <w:rPr>
            <w:rFonts w:ascii="EB Garamond" w:cs="EB Garamond" w:eastAsia="EB Garamond" w:hAnsi="EB Garamond"/>
            <w:sz w:val="26"/>
            <w:szCs w:val="26"/>
            <w:rtl w:val="0"/>
          </w:rPr>
          <w:t xml:space="preserve">https://www.elibrary.imf.org/view/journals/022/0019/003/article-A011-en.xml</w:t>
        </w:r>
      </w:hyperlink>
      <w:r w:rsidDel="00000000" w:rsidR="00000000" w:rsidRPr="00000000">
        <w:rPr>
          <w:rFonts w:ascii="EB Garamond" w:cs="EB Garamond" w:eastAsia="EB Garamond" w:hAnsi="EB Garamond"/>
          <w:sz w:val="26"/>
          <w:szCs w:val="26"/>
          <w:rtl w:val="0"/>
        </w:rPr>
        <w:t xml:space="preserve">.</w:t>
      </w:r>
    </w:p>
    <w:p w:rsidR="00000000" w:rsidDel="00000000" w:rsidP="00000000" w:rsidRDefault="00000000" w:rsidRPr="00000000" w14:paraId="00000072">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S. Al-Samarrai et al. "Assessing the Effects of Intergovernmental Fiscal Transfers on Education Financing and Outcomes: An Overview of Seven Case Studies." The Role of Intergovernmental Fiscal Transfers in Improving Education Outcomes (2021). </w:t>
      </w:r>
      <w:hyperlink r:id="rId31">
        <w:r w:rsidDel="00000000" w:rsidR="00000000" w:rsidRPr="00000000">
          <w:rPr>
            <w:rFonts w:ascii="EB Garamond" w:cs="EB Garamond" w:eastAsia="EB Garamond" w:hAnsi="EB Garamond"/>
            <w:sz w:val="26"/>
            <w:szCs w:val="26"/>
            <w:rtl w:val="0"/>
          </w:rPr>
          <w:t xml:space="preserve">https://doi.org/10.1596/978-1-4648-1693-2_ch3</w:t>
        </w:r>
      </w:hyperlink>
      <w:r w:rsidDel="00000000" w:rsidR="00000000" w:rsidRPr="00000000">
        <w:rPr>
          <w:rtl w:val="0"/>
        </w:rPr>
      </w:r>
    </w:p>
    <w:p w:rsidR="00000000" w:rsidDel="00000000" w:rsidP="00000000" w:rsidRDefault="00000000" w:rsidRPr="00000000" w14:paraId="00000073">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S. Lukash et al. "G20 in the Second Decade of the 21st Century.Steering the World Towards Inclusive Growth and Sustainable Development." International Organisations Research Journal (2021). </w:t>
      </w:r>
      <w:hyperlink r:id="rId32">
        <w:r w:rsidDel="00000000" w:rsidR="00000000" w:rsidRPr="00000000">
          <w:rPr>
            <w:rFonts w:ascii="EB Garamond" w:cs="EB Garamond" w:eastAsia="EB Garamond" w:hAnsi="EB Garamond"/>
            <w:sz w:val="26"/>
            <w:szCs w:val="26"/>
            <w:rtl w:val="0"/>
          </w:rPr>
          <w:t xml:space="preserve">https://doi.org/10.17323/1996-7845-2021-02-01</w:t>
        </w:r>
      </w:hyperlink>
      <w:r w:rsidDel="00000000" w:rsidR="00000000" w:rsidRPr="00000000">
        <w:rPr>
          <w:rtl w:val="0"/>
        </w:rPr>
      </w:r>
    </w:p>
    <w:p w:rsidR="00000000" w:rsidDel="00000000" w:rsidP="00000000" w:rsidRDefault="00000000" w:rsidRPr="00000000" w14:paraId="00000074">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Sadhna Kumari Singh et al. "G20: A global platform for economic development." Biophilia Insights (2025). </w:t>
      </w:r>
      <w:hyperlink r:id="rId33">
        <w:r w:rsidDel="00000000" w:rsidR="00000000" w:rsidRPr="00000000">
          <w:rPr>
            <w:rFonts w:ascii="EB Garamond" w:cs="EB Garamond" w:eastAsia="EB Garamond" w:hAnsi="EB Garamond"/>
            <w:sz w:val="26"/>
            <w:szCs w:val="26"/>
            <w:rtl w:val="0"/>
          </w:rPr>
          <w:t xml:space="preserve">https://doi.org/10.52679/bi.e202531005</w:t>
        </w:r>
      </w:hyperlink>
      <w:r w:rsidDel="00000000" w:rsidR="00000000" w:rsidRPr="00000000">
        <w:rPr>
          <w:rtl w:val="0"/>
        </w:rPr>
      </w:r>
    </w:p>
    <w:p w:rsidR="00000000" w:rsidDel="00000000" w:rsidP="00000000" w:rsidRDefault="00000000" w:rsidRPr="00000000" w14:paraId="00000075">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Stewart, Miranda. “International Institutions in Global Tax Governance.” Journal of International Economic Law, 9 Jan. 2025, doi.org/10.1093/jiel/jgae055, </w:t>
      </w:r>
      <w:hyperlink r:id="rId34">
        <w:r w:rsidDel="00000000" w:rsidR="00000000" w:rsidRPr="00000000">
          <w:rPr>
            <w:rFonts w:ascii="EB Garamond" w:cs="EB Garamond" w:eastAsia="EB Garamond" w:hAnsi="EB Garamond"/>
            <w:sz w:val="26"/>
            <w:szCs w:val="26"/>
            <w:rtl w:val="0"/>
          </w:rPr>
          <w:t xml:space="preserve">https://doi.org/10.1093/jiel/jgae055</w:t>
        </w:r>
      </w:hyperlink>
      <w:r w:rsidDel="00000000" w:rsidR="00000000" w:rsidRPr="00000000">
        <w:rPr>
          <w:rFonts w:ascii="EB Garamond" w:cs="EB Garamond" w:eastAsia="EB Garamond" w:hAnsi="EB Garamond"/>
          <w:sz w:val="26"/>
          <w:szCs w:val="26"/>
          <w:rtl w:val="0"/>
        </w:rPr>
        <w:t xml:space="preserve">.</w:t>
      </w:r>
    </w:p>
    <w:p w:rsidR="00000000" w:rsidDel="00000000" w:rsidP="00000000" w:rsidRDefault="00000000" w:rsidRPr="00000000" w14:paraId="00000076">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Thomas, Alastair. “Reassessing the regressivity of the VAT.” oecd.org, 2020, https://www.oecd.org/content/dam/oecd/en/publications/reports/2020/08/reassessing-the-regressivity-of-the-vat_39f90653/b76ced82-en.pdf.”</w:t>
      </w:r>
    </w:p>
    <w:p w:rsidR="00000000" w:rsidDel="00000000" w:rsidP="00000000" w:rsidRDefault="00000000" w:rsidRPr="00000000" w14:paraId="00000077">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Thomas Pogge et al. "World poverty and human rights : cosmopolitan responsibilities and reforms." Ethics &amp; International Affairs, 17 (2003): 121 - 123. </w:t>
      </w:r>
      <w:hyperlink r:id="rId35">
        <w:r w:rsidDel="00000000" w:rsidR="00000000" w:rsidRPr="00000000">
          <w:rPr>
            <w:rFonts w:ascii="EB Garamond" w:cs="EB Garamond" w:eastAsia="EB Garamond" w:hAnsi="EB Garamond"/>
            <w:sz w:val="26"/>
            <w:szCs w:val="26"/>
            <w:rtl w:val="0"/>
          </w:rPr>
          <w:t xml:space="preserve">https://doi.org/10.1017/s0892679400003178</w:t>
        </w:r>
      </w:hyperlink>
      <w:r w:rsidDel="00000000" w:rsidR="00000000" w:rsidRPr="00000000">
        <w:rPr>
          <w:rtl w:val="0"/>
        </w:rPr>
      </w:r>
    </w:p>
    <w:p w:rsidR="00000000" w:rsidDel="00000000" w:rsidP="00000000" w:rsidRDefault="00000000" w:rsidRPr="00000000" w14:paraId="00000078">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U. Baxi et al. "Towards socially sustainable globalization: reflections on responsible contracting and the UN guiding principles on business and human rights." Indian Journal of International Law, 57 (2017): 163-177. </w:t>
      </w:r>
      <w:hyperlink r:id="rId36">
        <w:r w:rsidDel="00000000" w:rsidR="00000000" w:rsidRPr="00000000">
          <w:rPr>
            <w:rFonts w:ascii="EB Garamond" w:cs="EB Garamond" w:eastAsia="EB Garamond" w:hAnsi="EB Garamond"/>
            <w:sz w:val="26"/>
            <w:szCs w:val="26"/>
            <w:rtl w:val="0"/>
          </w:rPr>
          <w:t xml:space="preserve">https://doi.org/10.1007/s40901-017-0068-1</w:t>
        </w:r>
      </w:hyperlink>
      <w:r w:rsidDel="00000000" w:rsidR="00000000" w:rsidRPr="00000000">
        <w:rPr>
          <w:rtl w:val="0"/>
        </w:rPr>
      </w:r>
    </w:p>
    <w:p w:rsidR="00000000" w:rsidDel="00000000" w:rsidP="00000000" w:rsidRDefault="00000000" w:rsidRPr="00000000" w14:paraId="00000079">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UNESCO. “Out-of-School Children and Educational Gaps Cost the Global Economy $10,000 Billion a Year.” Unesco.org, 2024, </w:t>
      </w:r>
      <w:hyperlink r:id="rId37">
        <w:r w:rsidDel="00000000" w:rsidR="00000000" w:rsidRPr="00000000">
          <w:rPr>
            <w:rFonts w:ascii="EB Garamond" w:cs="EB Garamond" w:eastAsia="EB Garamond" w:hAnsi="EB Garamond"/>
            <w:sz w:val="26"/>
            <w:szCs w:val="26"/>
            <w:rtl w:val="0"/>
          </w:rPr>
          <w:t xml:space="preserve">www.unesco.org/en/articles/out-school-children-and-educational-gaps-cost-global-economy-10000-billion-year</w:t>
        </w:r>
      </w:hyperlink>
      <w:r w:rsidDel="00000000" w:rsidR="00000000" w:rsidRPr="00000000">
        <w:rPr>
          <w:rFonts w:ascii="EB Garamond" w:cs="EB Garamond" w:eastAsia="EB Garamond" w:hAnsi="EB Garamond"/>
          <w:sz w:val="26"/>
          <w:szCs w:val="26"/>
          <w:rtl w:val="0"/>
        </w:rPr>
        <w:t xml:space="preserve">.</w:t>
      </w:r>
    </w:p>
    <w:p w:rsidR="00000000" w:rsidDel="00000000" w:rsidP="00000000" w:rsidRDefault="00000000" w:rsidRPr="00000000" w14:paraId="0000007A">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UNESCO . “The Future at Risk: Why Investing in Education Is Critical.” Unesco.org, 2024, </w:t>
      </w:r>
      <w:hyperlink r:id="rId38">
        <w:r w:rsidDel="00000000" w:rsidR="00000000" w:rsidRPr="00000000">
          <w:rPr>
            <w:rFonts w:ascii="EB Garamond" w:cs="EB Garamond" w:eastAsia="EB Garamond" w:hAnsi="EB Garamond"/>
            <w:sz w:val="26"/>
            <w:szCs w:val="26"/>
            <w:rtl w:val="0"/>
          </w:rPr>
          <w:t xml:space="preserve">www.unesco.org/sdg4education2030/en/knowledge-hub/future-risk-why-investing-education-critical</w:t>
        </w:r>
      </w:hyperlink>
      <w:r w:rsidDel="00000000" w:rsidR="00000000" w:rsidRPr="00000000">
        <w:rPr>
          <w:rFonts w:ascii="EB Garamond" w:cs="EB Garamond" w:eastAsia="EB Garamond" w:hAnsi="EB Garamond"/>
          <w:sz w:val="26"/>
          <w:szCs w:val="26"/>
          <w:rtl w:val="0"/>
        </w:rPr>
        <w:t xml:space="preserve">.</w:t>
      </w:r>
    </w:p>
    <w:p w:rsidR="00000000" w:rsidDel="00000000" w:rsidP="00000000" w:rsidRDefault="00000000" w:rsidRPr="00000000" w14:paraId="0000007B">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Vincent Chetail et al. "The politics of soft law: progress and pitfall of the global compact for safe, orderly, and regular migration." Frontiers in Human Dynamics (2023). </w:t>
      </w:r>
      <w:hyperlink r:id="rId39">
        <w:r w:rsidDel="00000000" w:rsidR="00000000" w:rsidRPr="00000000">
          <w:rPr>
            <w:rFonts w:ascii="EB Garamond" w:cs="EB Garamond" w:eastAsia="EB Garamond" w:hAnsi="EB Garamond"/>
            <w:sz w:val="26"/>
            <w:szCs w:val="26"/>
            <w:rtl w:val="0"/>
          </w:rPr>
          <w:t xml:space="preserve">https://doi.org/10.3389/fhumd.2023.1243774</w:t>
        </w:r>
      </w:hyperlink>
      <w:r w:rsidDel="00000000" w:rsidR="00000000" w:rsidRPr="00000000">
        <w:rPr>
          <w:rtl w:val="0"/>
        </w:rPr>
      </w:r>
    </w:p>
    <w:p w:rsidR="00000000" w:rsidDel="00000000" w:rsidP="00000000" w:rsidRDefault="00000000" w:rsidRPr="00000000" w14:paraId="0000007C">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Vitaliy Zapukhlyak et al. "EDUCATIONAL CHALLENGES TO GLOBAL ECONOMIC PROGRESS IN A FRAGMENTED WORLD." Herald UNU. International Economic Relations And World Economy (2025). </w:t>
      </w:r>
      <w:hyperlink r:id="rId40">
        <w:r w:rsidDel="00000000" w:rsidR="00000000" w:rsidRPr="00000000">
          <w:rPr>
            <w:rFonts w:ascii="EB Garamond" w:cs="EB Garamond" w:eastAsia="EB Garamond" w:hAnsi="EB Garamond"/>
            <w:sz w:val="26"/>
            <w:szCs w:val="26"/>
            <w:rtl w:val="0"/>
          </w:rPr>
          <w:t xml:space="preserve">https://doi.org/10.32782/2413-9971/2025-56-6</w:t>
        </w:r>
      </w:hyperlink>
      <w:r w:rsidDel="00000000" w:rsidR="00000000" w:rsidRPr="00000000">
        <w:rPr>
          <w:rtl w:val="0"/>
        </w:rPr>
      </w:r>
    </w:p>
    <w:p w:rsidR="00000000" w:rsidDel="00000000" w:rsidP="00000000" w:rsidRDefault="00000000" w:rsidRPr="00000000" w14:paraId="0000007D">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Weperch LLC. “ASFI Research Journal - Preview Issue.” Asfirj.org, 2025, asfirj.org/content/?sid=44f83daa3f943423e7fd.</w:t>
      </w:r>
    </w:p>
    <w:p w:rsidR="00000000" w:rsidDel="00000000" w:rsidP="00000000" w:rsidRDefault="00000000" w:rsidRPr="00000000" w14:paraId="0000007E">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W. Lei et al. "G20 Institutionalization: From Crisis-Management to Long-Term Global Governance." **, 02 (2016): 347-364. </w:t>
      </w:r>
      <w:hyperlink r:id="rId41">
        <w:r w:rsidDel="00000000" w:rsidR="00000000" w:rsidRPr="00000000">
          <w:rPr>
            <w:rFonts w:ascii="EB Garamond" w:cs="EB Garamond" w:eastAsia="EB Garamond" w:hAnsi="EB Garamond"/>
            <w:sz w:val="26"/>
            <w:szCs w:val="26"/>
            <w:rtl w:val="0"/>
          </w:rPr>
          <w:t xml:space="preserve">https://doi.org/10.1142/s237774001650024x</w:t>
        </w:r>
      </w:hyperlink>
      <w:r w:rsidDel="00000000" w:rsidR="00000000" w:rsidRPr="00000000">
        <w:rPr>
          <w:rtl w:val="0"/>
        </w:rPr>
      </w:r>
    </w:p>
    <w:p w:rsidR="00000000" w:rsidDel="00000000" w:rsidP="00000000" w:rsidRDefault="00000000" w:rsidRPr="00000000" w14:paraId="0000007F">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Wiwiek Rukmi Dwi Astuti et al. "Kerjasama G20 dalam Pemulihan Ekonomi Global dari COVID-19." The Journal of international studies, 9 (2020): 131-148. </w:t>
      </w:r>
      <w:hyperlink r:id="rId42">
        <w:r w:rsidDel="00000000" w:rsidR="00000000" w:rsidRPr="00000000">
          <w:rPr>
            <w:rFonts w:ascii="EB Garamond" w:cs="EB Garamond" w:eastAsia="EB Garamond" w:hAnsi="EB Garamond"/>
            <w:sz w:val="26"/>
            <w:szCs w:val="26"/>
            <w:rtl w:val="0"/>
          </w:rPr>
          <w:t xml:space="preserve">https://doi.org/10.25077/ajis.9.2.131-148.2020</w:t>
        </w:r>
      </w:hyperlink>
      <w:r w:rsidDel="00000000" w:rsidR="00000000" w:rsidRPr="00000000">
        <w:rPr>
          <w:rtl w:val="0"/>
        </w:rPr>
      </w:r>
    </w:p>
    <w:p w:rsidR="00000000" w:rsidDel="00000000" w:rsidP="00000000" w:rsidRDefault="00000000" w:rsidRPr="00000000" w14:paraId="00000080">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World Bank. “The State of Global Learning Poverty: 2022 Update.” World Bank, 23 June 2022, </w:t>
      </w:r>
      <w:hyperlink r:id="rId43">
        <w:r w:rsidDel="00000000" w:rsidR="00000000" w:rsidRPr="00000000">
          <w:rPr>
            <w:rFonts w:ascii="EB Garamond" w:cs="EB Garamond" w:eastAsia="EB Garamond" w:hAnsi="EB Garamond"/>
            <w:sz w:val="26"/>
            <w:szCs w:val="26"/>
            <w:rtl w:val="0"/>
          </w:rPr>
          <w:t xml:space="preserve">www.worldbank.org/en/topic/education/publication/state-of-global-learning-poverty</w:t>
        </w:r>
      </w:hyperlink>
      <w:r w:rsidDel="00000000" w:rsidR="00000000" w:rsidRPr="00000000">
        <w:rPr>
          <w:rFonts w:ascii="EB Garamond" w:cs="EB Garamond" w:eastAsia="EB Garamond" w:hAnsi="EB Garamond"/>
          <w:sz w:val="26"/>
          <w:szCs w:val="26"/>
          <w:rtl w:val="0"/>
        </w:rPr>
        <w:t xml:space="preserve">.</w:t>
      </w:r>
    </w:p>
    <w:p w:rsidR="00000000" w:rsidDel="00000000" w:rsidP="00000000" w:rsidRDefault="00000000" w:rsidRPr="00000000" w14:paraId="00000081">
      <w:pPr>
        <w:spacing w:after="240" w:before="240" w:lineRule="auto"/>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Zhiying Zhao et al. "Exploring the impact of education on sustainable resource efficiency: the interplay with CO2 emissions, renewable energy, and agriculture in G20 nations." Frontiers in Environmental Science (2025). </w:t>
      </w:r>
      <w:hyperlink r:id="rId44">
        <w:r w:rsidDel="00000000" w:rsidR="00000000" w:rsidRPr="00000000">
          <w:rPr>
            <w:rFonts w:ascii="EB Garamond" w:cs="EB Garamond" w:eastAsia="EB Garamond" w:hAnsi="EB Garamond"/>
            <w:sz w:val="26"/>
            <w:szCs w:val="26"/>
            <w:rtl w:val="0"/>
          </w:rPr>
          <w:t xml:space="preserve">https://doi.org/10.3389/fenvs.2025.1623978</w:t>
        </w:r>
      </w:hyperlink>
      <w:r w:rsidDel="00000000" w:rsidR="00000000" w:rsidRPr="00000000">
        <w:rPr>
          <w:rtl w:val="0"/>
        </w:rPr>
      </w:r>
    </w:p>
    <w:p w:rsidR="00000000" w:rsidDel="00000000" w:rsidP="00000000" w:rsidRDefault="00000000" w:rsidRPr="00000000" w14:paraId="00000082">
      <w:pPr>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83">
      <w:pPr>
        <w:rPr>
          <w:rFonts w:ascii="EB Garamond" w:cs="EB Garamond" w:eastAsia="EB Garamond" w:hAnsi="EB Garamond"/>
          <w:b w:val="1"/>
          <w:bCs w:val="1"/>
          <w:sz w:val="24"/>
          <w:szCs w:val="24"/>
        </w:rPr>
      </w:pPr>
      <w:r w:rsidDel="00000000" w:rsidR="00000000" w:rsidRPr="00000000">
        <w:rPr>
          <w:rtl w:val="0"/>
        </w:rPr>
      </w:r>
    </w:p>
    <w:p w:rsidR="00000000" w:rsidDel="00000000" w:rsidP="00000000" w:rsidRDefault="00000000" w:rsidRPr="00000000" w14:paraId="00000084">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480" w:lineRule="auto"/>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32782/2413-9971/2025-56-6" TargetMode="External"/><Relationship Id="rId20" Type="http://schemas.openxmlformats.org/officeDocument/2006/relationships/hyperlink" Target="https://doi.org/10.17323/1996-7845-2022-02-11" TargetMode="External"/><Relationship Id="rId42" Type="http://schemas.openxmlformats.org/officeDocument/2006/relationships/hyperlink" Target="https://doi.org/10.25077/ajis.9.2.131-148.2020" TargetMode="External"/><Relationship Id="rId41" Type="http://schemas.openxmlformats.org/officeDocument/2006/relationships/hyperlink" Target="https://doi.org/10.1142/s237774001650024x" TargetMode="External"/><Relationship Id="rId22" Type="http://schemas.openxmlformats.org/officeDocument/2006/relationships/hyperlink" Target="https://doi.org/10.1080/03057925.2017.1394743" TargetMode="External"/><Relationship Id="rId44" Type="http://schemas.openxmlformats.org/officeDocument/2006/relationships/hyperlink" Target="https://doi.org/10.3389/fenvs.2025.1623978" TargetMode="External"/><Relationship Id="rId21" Type="http://schemas.openxmlformats.org/officeDocument/2006/relationships/hyperlink" Target="https://doi.org/10.1002/pa.2670" TargetMode="External"/><Relationship Id="rId43" Type="http://schemas.openxmlformats.org/officeDocument/2006/relationships/hyperlink" Target="http://www.worldbank.org/en/topic/education/publication/state-of-global-learning-poverty" TargetMode="External"/><Relationship Id="rId24" Type="http://schemas.openxmlformats.org/officeDocument/2006/relationships/hyperlink" Target="https://doi.org/10.1016/j.regsus.2023.07.001" TargetMode="External"/><Relationship Id="rId23" Type="http://schemas.openxmlformats.org/officeDocument/2006/relationships/hyperlink" Target="https://doi.org/10.1007/978-3-319-90388-0_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5103/ijbesar.131.07" TargetMode="External"/><Relationship Id="rId26" Type="http://schemas.openxmlformats.org/officeDocument/2006/relationships/hyperlink" Target="https://doi.org/10.1111/j.1465-3435.2005.00230.x" TargetMode="External"/><Relationship Id="rId25" Type="http://schemas.openxmlformats.org/officeDocument/2006/relationships/hyperlink" Target="https://doi.org/10.1596/1813-9450-9549" TargetMode="External"/><Relationship Id="rId28" Type="http://schemas.openxmlformats.org/officeDocument/2006/relationships/hyperlink" Target="https://doi.org/10.9734/arjass/2025/v23i10800" TargetMode="External"/><Relationship Id="rId27" Type="http://schemas.openxmlformats.org/officeDocument/2006/relationships/hyperlink" Target="https://doi.org/10.1108/jgr-03-2025-0054" TargetMode="External"/><Relationship Id="rId5" Type="http://schemas.openxmlformats.org/officeDocument/2006/relationships/styles" Target="styles.xml"/><Relationship Id="rId6" Type="http://schemas.openxmlformats.org/officeDocument/2006/relationships/hyperlink" Target="https://doi.org/10.1080/10220461.2019.1705889" TargetMode="External"/><Relationship Id="rId29" Type="http://schemas.openxmlformats.org/officeDocument/2006/relationships/hyperlink" Target="https://doi.org/10.1111/1758-5899.12860" TargetMode="External"/><Relationship Id="rId7" Type="http://schemas.openxmlformats.org/officeDocument/2006/relationships/hyperlink" Target="https://doi.org/10.1111/1475-5890.12342" TargetMode="External"/><Relationship Id="rId8" Type="http://schemas.openxmlformats.org/officeDocument/2006/relationships/hyperlink" Target="https://doi.org/10.1080/14767724.2020.1816159" TargetMode="External"/><Relationship Id="rId31" Type="http://schemas.openxmlformats.org/officeDocument/2006/relationships/hyperlink" Target="https://doi.org/10.1596/978-1-4648-1693-2_ch3" TargetMode="External"/><Relationship Id="rId30" Type="http://schemas.openxmlformats.org/officeDocument/2006/relationships/hyperlink" Target="https://www.elibrary.imf.org/view/journals/022/0019/003/article-A011-en.xml" TargetMode="External"/><Relationship Id="rId11" Type="http://schemas.openxmlformats.org/officeDocument/2006/relationships/hyperlink" Target="https://doi.org/10.1177/0020852314558035" TargetMode="External"/><Relationship Id="rId33" Type="http://schemas.openxmlformats.org/officeDocument/2006/relationships/hyperlink" Target="https://doi.org/10.52679/bi.e202531005" TargetMode="External"/><Relationship Id="rId10" Type="http://schemas.openxmlformats.org/officeDocument/2006/relationships/hyperlink" Target="https://doi.org/10.5018/economics-ejournal.ja.2018-22" TargetMode="External"/><Relationship Id="rId32" Type="http://schemas.openxmlformats.org/officeDocument/2006/relationships/hyperlink" Target="https://doi.org/10.17323/1996-7845-2021-02-01" TargetMode="External"/><Relationship Id="rId13" Type="http://schemas.openxmlformats.org/officeDocument/2006/relationships/hyperlink" Target="https://doi.org/10.1177/21582440211047204" TargetMode="External"/><Relationship Id="rId35" Type="http://schemas.openxmlformats.org/officeDocument/2006/relationships/hyperlink" Target="https://doi.org/10.1017/s0892679400003178" TargetMode="External"/><Relationship Id="rId12" Type="http://schemas.openxmlformats.org/officeDocument/2006/relationships/hyperlink" Target="https://doi.org/10.26794/1999-849x-2023-16-4-136-145" TargetMode="External"/><Relationship Id="rId34" Type="http://schemas.openxmlformats.org/officeDocument/2006/relationships/hyperlink" Target="https://doi.org/10.1093/jiel/jgae055" TargetMode="External"/><Relationship Id="rId15" Type="http://schemas.openxmlformats.org/officeDocument/2006/relationships/hyperlink" Target="https://doi.org/10.17323/1996-7845-2020-02-02" TargetMode="External"/><Relationship Id="rId37" Type="http://schemas.openxmlformats.org/officeDocument/2006/relationships/hyperlink" Target="http://www.unesco.org/en/articles/out-school-children-and-educational-gaps-cost-global-economy-10000-billion-year" TargetMode="External"/><Relationship Id="rId14" Type="http://schemas.openxmlformats.org/officeDocument/2006/relationships/hyperlink" Target="https://doi.org/10.1017/s0047279425100883" TargetMode="External"/><Relationship Id="rId36" Type="http://schemas.openxmlformats.org/officeDocument/2006/relationships/hyperlink" Target="https://doi.org/10.1007/s40901-017-0068-1" TargetMode="External"/><Relationship Id="rId17" Type="http://schemas.openxmlformats.org/officeDocument/2006/relationships/hyperlink" Target="https://doi.org/10.1111/ecaf.12331" TargetMode="External"/><Relationship Id="rId39" Type="http://schemas.openxmlformats.org/officeDocument/2006/relationships/hyperlink" Target="https://doi.org/10.3389/fhumd.2023.1243774" TargetMode="External"/><Relationship Id="rId16" Type="http://schemas.openxmlformats.org/officeDocument/2006/relationships/hyperlink" Target="https://doi.org/10.17323/1996-7845-2020-02-03" TargetMode="External"/><Relationship Id="rId38" Type="http://schemas.openxmlformats.org/officeDocument/2006/relationships/hyperlink" Target="http://www.unesco.org/sdg4education2030/en/knowledge-hub/future-risk-why-investing-education-critical" TargetMode="External"/><Relationship Id="rId19" Type="http://schemas.openxmlformats.org/officeDocument/2006/relationships/hyperlink" Target="https://doi.org/10.1093/heapol/czaf042" TargetMode="External"/><Relationship Id="rId18" Type="http://schemas.openxmlformats.org/officeDocument/2006/relationships/hyperlink" Target="https://doi.org/10.2139/ssrn.329641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